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9D" w:rsidRDefault="00D87E9D" w:rsidP="00D87E9D">
      <w:pPr>
        <w:pStyle w:val="Default"/>
        <w:rPr>
          <w:color w:val="4F81BC"/>
          <w:sz w:val="32"/>
          <w:szCs w:val="32"/>
        </w:rPr>
      </w:pPr>
      <w:r>
        <w:t xml:space="preserve"> </w:t>
      </w:r>
      <w:proofErr w:type="spellStart"/>
      <w:r>
        <w:rPr>
          <w:b/>
          <w:bCs/>
          <w:color w:val="4F81BC"/>
          <w:sz w:val="32"/>
          <w:szCs w:val="32"/>
        </w:rPr>
        <w:t>Informe</w:t>
      </w:r>
      <w:proofErr w:type="spellEnd"/>
      <w:r>
        <w:rPr>
          <w:b/>
          <w:bCs/>
          <w:color w:val="4F81BC"/>
          <w:sz w:val="32"/>
          <w:szCs w:val="32"/>
        </w:rPr>
        <w:t xml:space="preserve"> </w:t>
      </w:r>
      <w:proofErr w:type="spellStart"/>
      <w:r>
        <w:rPr>
          <w:b/>
          <w:bCs/>
          <w:color w:val="4F81BC"/>
          <w:sz w:val="32"/>
          <w:szCs w:val="32"/>
        </w:rPr>
        <w:t>sobre</w:t>
      </w:r>
      <w:proofErr w:type="spellEnd"/>
      <w:r>
        <w:rPr>
          <w:b/>
          <w:bCs/>
          <w:color w:val="4F81BC"/>
          <w:sz w:val="32"/>
          <w:szCs w:val="32"/>
        </w:rPr>
        <w:t xml:space="preserve"> </w:t>
      </w:r>
      <w:proofErr w:type="spellStart"/>
      <w:r>
        <w:rPr>
          <w:b/>
          <w:bCs/>
          <w:color w:val="4F81BC"/>
          <w:sz w:val="32"/>
          <w:szCs w:val="32"/>
        </w:rPr>
        <w:t>minerales</w:t>
      </w:r>
      <w:proofErr w:type="spellEnd"/>
      <w:r>
        <w:rPr>
          <w:b/>
          <w:bCs/>
          <w:color w:val="4F81BC"/>
          <w:sz w:val="32"/>
          <w:szCs w:val="32"/>
        </w:rPr>
        <w:t xml:space="preserve"> de </w:t>
      </w:r>
      <w:proofErr w:type="spellStart"/>
      <w:r>
        <w:rPr>
          <w:b/>
          <w:bCs/>
          <w:color w:val="4F81BC"/>
          <w:sz w:val="32"/>
          <w:szCs w:val="32"/>
        </w:rPr>
        <w:t>conflicto</w:t>
      </w:r>
      <w:proofErr w:type="spellEnd"/>
      <w:r>
        <w:rPr>
          <w:b/>
          <w:bCs/>
          <w:color w:val="4F81BC"/>
          <w:sz w:val="32"/>
          <w:szCs w:val="32"/>
        </w:rPr>
        <w:t xml:space="preserve"> </w:t>
      </w:r>
    </w:p>
    <w:p w:rsidR="00D87E9D" w:rsidRDefault="00D87E9D" w:rsidP="00D87E9D">
      <w:pPr>
        <w:pStyle w:val="Default"/>
        <w:rPr>
          <w:color w:val="auto"/>
        </w:rPr>
      </w:pPr>
    </w:p>
    <w:p w:rsidR="00D87E9D" w:rsidRDefault="00D87E9D" w:rsidP="00D87E9D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agosto</w:t>
      </w:r>
      <w:proofErr w:type="spellEnd"/>
      <w:r>
        <w:rPr>
          <w:color w:val="auto"/>
          <w:sz w:val="20"/>
          <w:szCs w:val="20"/>
        </w:rPr>
        <w:t xml:space="preserve"> de 2012, la </w:t>
      </w:r>
      <w:proofErr w:type="spellStart"/>
      <w:r>
        <w:rPr>
          <w:color w:val="auto"/>
          <w:sz w:val="20"/>
          <w:szCs w:val="20"/>
        </w:rPr>
        <w:t>Comisión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bolsa</w:t>
      </w:r>
      <w:proofErr w:type="spellEnd"/>
      <w:r>
        <w:rPr>
          <w:color w:val="auto"/>
          <w:sz w:val="20"/>
          <w:szCs w:val="20"/>
        </w:rPr>
        <w:t xml:space="preserve"> y </w:t>
      </w:r>
      <w:proofErr w:type="spellStart"/>
      <w:r>
        <w:rPr>
          <w:color w:val="auto"/>
          <w:sz w:val="20"/>
          <w:szCs w:val="20"/>
        </w:rPr>
        <w:t>valores</w:t>
      </w:r>
      <w:proofErr w:type="spellEnd"/>
      <w:r>
        <w:rPr>
          <w:color w:val="auto"/>
          <w:sz w:val="20"/>
          <w:szCs w:val="20"/>
        </w:rPr>
        <w:t xml:space="preserve"> de EE.UU. (SEC, </w:t>
      </w:r>
      <w:proofErr w:type="spellStart"/>
      <w:r>
        <w:rPr>
          <w:color w:val="auto"/>
          <w:sz w:val="20"/>
          <w:szCs w:val="20"/>
        </w:rPr>
        <w:t>por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siglas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inglés</w:t>
      </w:r>
      <w:proofErr w:type="spellEnd"/>
      <w:r>
        <w:rPr>
          <w:color w:val="auto"/>
          <w:sz w:val="20"/>
          <w:szCs w:val="20"/>
        </w:rPr>
        <w:t xml:space="preserve">) </w:t>
      </w:r>
      <w:proofErr w:type="spellStart"/>
      <w:r>
        <w:rPr>
          <w:color w:val="auto"/>
          <w:sz w:val="20"/>
          <w:szCs w:val="20"/>
        </w:rPr>
        <w:t>emitió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norma</w:t>
      </w:r>
      <w:proofErr w:type="spellEnd"/>
      <w:r>
        <w:rPr>
          <w:color w:val="auto"/>
          <w:sz w:val="20"/>
          <w:szCs w:val="20"/>
        </w:rPr>
        <w:t xml:space="preserve"> que </w:t>
      </w:r>
      <w:proofErr w:type="spellStart"/>
      <w:r>
        <w:rPr>
          <w:color w:val="auto"/>
          <w:sz w:val="20"/>
          <w:szCs w:val="20"/>
        </w:rPr>
        <w:t>requerirá</w:t>
      </w:r>
      <w:proofErr w:type="spellEnd"/>
      <w:r>
        <w:rPr>
          <w:color w:val="auto"/>
          <w:sz w:val="20"/>
          <w:szCs w:val="20"/>
        </w:rPr>
        <w:t xml:space="preserve"> que las </w:t>
      </w:r>
      <w:proofErr w:type="spellStart"/>
      <w:r>
        <w:rPr>
          <w:color w:val="auto"/>
          <w:sz w:val="20"/>
          <w:szCs w:val="20"/>
        </w:rPr>
        <w:t>compañías</w:t>
      </w:r>
      <w:proofErr w:type="spellEnd"/>
      <w:r>
        <w:rPr>
          <w:color w:val="auto"/>
          <w:sz w:val="20"/>
          <w:szCs w:val="20"/>
        </w:rPr>
        <w:t xml:space="preserve"> que </w:t>
      </w:r>
      <w:proofErr w:type="spellStart"/>
      <w:r>
        <w:rPr>
          <w:color w:val="auto"/>
          <w:sz w:val="20"/>
          <w:szCs w:val="20"/>
        </w:rPr>
        <w:t>cotizan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bolsa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EE.UU </w:t>
      </w:r>
      <w:proofErr w:type="spellStart"/>
      <w:r>
        <w:rPr>
          <w:color w:val="auto"/>
          <w:sz w:val="20"/>
          <w:szCs w:val="20"/>
        </w:rPr>
        <w:t>presenten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informes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anualmente</w:t>
      </w:r>
      <w:proofErr w:type="spellEnd"/>
      <w:r>
        <w:rPr>
          <w:color w:val="auto"/>
          <w:sz w:val="20"/>
          <w:szCs w:val="20"/>
        </w:rPr>
        <w:t xml:space="preserve"> con </w:t>
      </w:r>
      <w:proofErr w:type="spellStart"/>
      <w:r>
        <w:rPr>
          <w:color w:val="auto"/>
          <w:sz w:val="20"/>
          <w:szCs w:val="20"/>
        </w:rPr>
        <w:t>respecto</w:t>
      </w:r>
      <w:proofErr w:type="spellEnd"/>
      <w:r>
        <w:rPr>
          <w:color w:val="auto"/>
          <w:sz w:val="20"/>
          <w:szCs w:val="20"/>
        </w:rPr>
        <w:t xml:space="preserve"> a </w:t>
      </w:r>
      <w:proofErr w:type="spellStart"/>
      <w:r>
        <w:rPr>
          <w:color w:val="auto"/>
          <w:sz w:val="20"/>
          <w:szCs w:val="20"/>
        </w:rPr>
        <w:t>cualquier</w:t>
      </w:r>
      <w:proofErr w:type="spellEnd"/>
      <w:r>
        <w:rPr>
          <w:color w:val="auto"/>
          <w:sz w:val="20"/>
          <w:szCs w:val="20"/>
        </w:rPr>
        <w:t xml:space="preserve"> "mineral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conflicto</w:t>
      </w:r>
      <w:proofErr w:type="spellEnd"/>
      <w:r>
        <w:rPr>
          <w:color w:val="auto"/>
          <w:sz w:val="20"/>
          <w:szCs w:val="20"/>
        </w:rPr>
        <w:t xml:space="preserve">" que </w:t>
      </w:r>
      <w:proofErr w:type="spellStart"/>
      <w:r>
        <w:rPr>
          <w:color w:val="auto"/>
          <w:sz w:val="20"/>
          <w:szCs w:val="20"/>
        </w:rPr>
        <w:t>esté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presente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productos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Estos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nuevos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requerimientos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informe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aplicarán</w:t>
      </w:r>
      <w:proofErr w:type="spellEnd"/>
      <w:r>
        <w:rPr>
          <w:color w:val="auto"/>
          <w:sz w:val="20"/>
          <w:szCs w:val="20"/>
        </w:rPr>
        <w:t xml:space="preserve"> a Steelcase y a </w:t>
      </w:r>
      <w:proofErr w:type="spellStart"/>
      <w:r>
        <w:rPr>
          <w:color w:val="auto"/>
          <w:sz w:val="20"/>
          <w:szCs w:val="20"/>
        </w:rPr>
        <w:t>los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productos</w:t>
      </w:r>
      <w:proofErr w:type="spellEnd"/>
      <w:r>
        <w:rPr>
          <w:color w:val="auto"/>
          <w:sz w:val="20"/>
          <w:szCs w:val="20"/>
        </w:rPr>
        <w:t xml:space="preserve"> que </w:t>
      </w:r>
      <w:proofErr w:type="spellStart"/>
      <w:r>
        <w:rPr>
          <w:color w:val="auto"/>
          <w:sz w:val="20"/>
          <w:szCs w:val="20"/>
        </w:rPr>
        <w:t>fabrica</w:t>
      </w:r>
      <w:proofErr w:type="spellEnd"/>
      <w:r>
        <w:rPr>
          <w:color w:val="auto"/>
          <w:sz w:val="20"/>
          <w:szCs w:val="20"/>
        </w:rPr>
        <w:t xml:space="preserve"> o a </w:t>
      </w:r>
      <w:proofErr w:type="spellStart"/>
      <w:r>
        <w:rPr>
          <w:color w:val="auto"/>
          <w:sz w:val="20"/>
          <w:szCs w:val="20"/>
        </w:rPr>
        <w:t>contratos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fabricación</w:t>
      </w:r>
      <w:proofErr w:type="spellEnd"/>
      <w:r>
        <w:rPr>
          <w:color w:val="auto"/>
          <w:sz w:val="20"/>
          <w:szCs w:val="20"/>
        </w:rPr>
        <w:t xml:space="preserve"> con </w:t>
      </w:r>
      <w:proofErr w:type="spellStart"/>
      <w:r>
        <w:rPr>
          <w:color w:val="auto"/>
          <w:sz w:val="20"/>
          <w:szCs w:val="20"/>
        </w:rPr>
        <w:t>terceros</w:t>
      </w:r>
      <w:proofErr w:type="spellEnd"/>
      <w:r>
        <w:rPr>
          <w:color w:val="auto"/>
          <w:sz w:val="20"/>
          <w:szCs w:val="20"/>
        </w:rPr>
        <w:t xml:space="preserve">. Como </w:t>
      </w:r>
      <w:proofErr w:type="spellStart"/>
      <w:r>
        <w:rPr>
          <w:color w:val="auto"/>
          <w:sz w:val="20"/>
          <w:szCs w:val="20"/>
        </w:rPr>
        <w:t>proveedor</w:t>
      </w:r>
      <w:proofErr w:type="spellEnd"/>
      <w:r>
        <w:rPr>
          <w:color w:val="auto"/>
          <w:sz w:val="20"/>
          <w:szCs w:val="20"/>
        </w:rPr>
        <w:t xml:space="preserve"> de Steelcase, </w:t>
      </w:r>
      <w:proofErr w:type="spellStart"/>
      <w:r>
        <w:rPr>
          <w:color w:val="auto"/>
          <w:sz w:val="20"/>
          <w:szCs w:val="20"/>
        </w:rPr>
        <w:t>es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posible</w:t>
      </w:r>
      <w:proofErr w:type="spellEnd"/>
      <w:r>
        <w:rPr>
          <w:color w:val="auto"/>
          <w:sz w:val="20"/>
          <w:szCs w:val="20"/>
        </w:rPr>
        <w:t xml:space="preserve"> que le </w:t>
      </w:r>
      <w:proofErr w:type="spellStart"/>
      <w:r>
        <w:rPr>
          <w:color w:val="auto"/>
          <w:sz w:val="20"/>
          <w:szCs w:val="20"/>
        </w:rPr>
        <w:t>solicitemos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información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acerca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los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productos</w:t>
      </w:r>
      <w:proofErr w:type="spellEnd"/>
      <w:r>
        <w:rPr>
          <w:color w:val="auto"/>
          <w:sz w:val="20"/>
          <w:szCs w:val="20"/>
        </w:rPr>
        <w:t xml:space="preserve"> que </w:t>
      </w:r>
      <w:proofErr w:type="spellStart"/>
      <w:r>
        <w:rPr>
          <w:color w:val="auto"/>
          <w:sz w:val="20"/>
          <w:szCs w:val="20"/>
        </w:rPr>
        <w:t>nos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vende</w:t>
      </w:r>
      <w:proofErr w:type="spellEnd"/>
      <w:r>
        <w:rPr>
          <w:color w:val="auto"/>
          <w:sz w:val="20"/>
          <w:szCs w:val="20"/>
        </w:rPr>
        <w:t xml:space="preserve"> de </w:t>
      </w:r>
      <w:proofErr w:type="spellStart"/>
      <w:r>
        <w:rPr>
          <w:color w:val="auto"/>
          <w:sz w:val="20"/>
          <w:szCs w:val="20"/>
        </w:rPr>
        <w:t>manera</w:t>
      </w:r>
      <w:proofErr w:type="spellEnd"/>
      <w:r>
        <w:rPr>
          <w:color w:val="auto"/>
          <w:sz w:val="20"/>
          <w:szCs w:val="20"/>
        </w:rPr>
        <w:t xml:space="preserve"> que </w:t>
      </w:r>
      <w:proofErr w:type="spellStart"/>
      <w:r>
        <w:rPr>
          <w:color w:val="auto"/>
          <w:sz w:val="20"/>
          <w:szCs w:val="20"/>
        </w:rPr>
        <w:t>podamos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cumplir</w:t>
      </w:r>
      <w:proofErr w:type="spellEnd"/>
      <w:r>
        <w:rPr>
          <w:color w:val="auto"/>
          <w:sz w:val="20"/>
          <w:szCs w:val="20"/>
        </w:rPr>
        <w:t xml:space="preserve"> con </w:t>
      </w:r>
      <w:proofErr w:type="spellStart"/>
      <w:r>
        <w:rPr>
          <w:color w:val="auto"/>
          <w:sz w:val="20"/>
          <w:szCs w:val="20"/>
        </w:rPr>
        <w:t>los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requerimientos</w:t>
      </w:r>
      <w:proofErr w:type="spellEnd"/>
      <w:r>
        <w:rPr>
          <w:color w:val="auto"/>
          <w:sz w:val="20"/>
          <w:szCs w:val="20"/>
        </w:rPr>
        <w:t xml:space="preserve"> de la SEC. </w:t>
      </w:r>
    </w:p>
    <w:p w:rsidR="00D87E9D" w:rsidRDefault="00D87E9D" w:rsidP="00D87E9D">
      <w:pPr>
        <w:pStyle w:val="Default"/>
        <w:rPr>
          <w:color w:val="auto"/>
          <w:sz w:val="20"/>
          <w:szCs w:val="20"/>
        </w:rPr>
      </w:pPr>
    </w:p>
    <w:p w:rsidR="00D87E9D" w:rsidRDefault="00D87E9D" w:rsidP="00D87E9D">
      <w:pPr>
        <w:pStyle w:val="Default"/>
        <w:rPr>
          <w:color w:val="4F81BC"/>
          <w:sz w:val="20"/>
          <w:szCs w:val="20"/>
        </w:rPr>
      </w:pPr>
      <w:r>
        <w:rPr>
          <w:b/>
          <w:bCs/>
          <w:color w:val="4F81BC"/>
          <w:sz w:val="20"/>
          <w:szCs w:val="20"/>
        </w:rPr>
        <w:t>¿</w:t>
      </w:r>
      <w:proofErr w:type="spellStart"/>
      <w:r>
        <w:rPr>
          <w:b/>
          <w:bCs/>
          <w:color w:val="4F81BC"/>
          <w:sz w:val="20"/>
          <w:szCs w:val="20"/>
        </w:rPr>
        <w:t>Qué</w:t>
      </w:r>
      <w:proofErr w:type="spellEnd"/>
      <w:r>
        <w:rPr>
          <w:b/>
          <w:bCs/>
          <w:color w:val="4F81BC"/>
          <w:sz w:val="20"/>
          <w:szCs w:val="20"/>
        </w:rPr>
        <w:t xml:space="preserve"> son "</w:t>
      </w:r>
      <w:proofErr w:type="spellStart"/>
      <w:r>
        <w:rPr>
          <w:b/>
          <w:bCs/>
          <w:color w:val="4F81BC"/>
          <w:sz w:val="20"/>
          <w:szCs w:val="20"/>
        </w:rPr>
        <w:t>minerales</w:t>
      </w:r>
      <w:proofErr w:type="spellEnd"/>
      <w:r>
        <w:rPr>
          <w:b/>
          <w:bCs/>
          <w:color w:val="4F81BC"/>
          <w:sz w:val="20"/>
          <w:szCs w:val="20"/>
        </w:rPr>
        <w:t xml:space="preserve"> de </w:t>
      </w:r>
      <w:proofErr w:type="spellStart"/>
      <w:r>
        <w:rPr>
          <w:b/>
          <w:bCs/>
          <w:color w:val="4F81BC"/>
          <w:sz w:val="20"/>
          <w:szCs w:val="20"/>
        </w:rPr>
        <w:t>conflicto</w:t>
      </w:r>
      <w:proofErr w:type="spellEnd"/>
      <w:r>
        <w:rPr>
          <w:b/>
          <w:bCs/>
          <w:color w:val="4F81BC"/>
          <w:sz w:val="20"/>
          <w:szCs w:val="20"/>
        </w:rPr>
        <w:t xml:space="preserve">"? </w:t>
      </w:r>
    </w:p>
    <w:p w:rsidR="00D87E9D" w:rsidRDefault="00D87E9D" w:rsidP="00D87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norma</w:t>
      </w:r>
      <w:proofErr w:type="spellEnd"/>
      <w:r>
        <w:rPr>
          <w:sz w:val="20"/>
          <w:szCs w:val="20"/>
        </w:rPr>
        <w:t xml:space="preserve"> de la SEC </w:t>
      </w:r>
      <w:proofErr w:type="spellStart"/>
      <w:r>
        <w:rPr>
          <w:sz w:val="20"/>
          <w:szCs w:val="20"/>
        </w:rPr>
        <w:t>actualmente</w:t>
      </w:r>
      <w:proofErr w:type="spellEnd"/>
      <w:r>
        <w:rPr>
          <w:sz w:val="20"/>
          <w:szCs w:val="20"/>
        </w:rPr>
        <w:t xml:space="preserve"> define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siguientes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": </w:t>
      </w:r>
    </w:p>
    <w:p w:rsidR="00D87E9D" w:rsidRDefault="00D87E9D" w:rsidP="00D87E9D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Estaño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casiterita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</w:p>
    <w:p w:rsidR="00D87E9D" w:rsidRDefault="00D87E9D" w:rsidP="00D87E9D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Tantalio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columbita-tantalita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coltan</w:t>
      </w:r>
      <w:proofErr w:type="spellEnd"/>
      <w:r>
        <w:rPr>
          <w:sz w:val="20"/>
          <w:szCs w:val="20"/>
        </w:rPr>
        <w:t xml:space="preserve">) </w:t>
      </w:r>
    </w:p>
    <w:p w:rsidR="00D87E9D" w:rsidRDefault="00D87E9D" w:rsidP="00D87E9D">
      <w:pPr>
        <w:pStyle w:val="Default"/>
        <w:spacing w:after="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Tungsteno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wolframio</w:t>
      </w:r>
      <w:proofErr w:type="spellEnd"/>
      <w:r>
        <w:rPr>
          <w:sz w:val="20"/>
          <w:szCs w:val="20"/>
        </w:rPr>
        <w:t xml:space="preserve"> </w:t>
      </w:r>
    </w:p>
    <w:p w:rsidR="00D87E9D" w:rsidRDefault="00D87E9D" w:rsidP="00D87E9D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Oro </w:t>
      </w:r>
    </w:p>
    <w:p w:rsidR="00D87E9D" w:rsidRDefault="00D87E9D" w:rsidP="00D87E9D">
      <w:pPr>
        <w:pStyle w:val="Default"/>
        <w:rPr>
          <w:sz w:val="20"/>
          <w:szCs w:val="20"/>
        </w:rPr>
      </w:pPr>
    </w:p>
    <w:p w:rsidR="00D87E9D" w:rsidRDefault="00D87E9D" w:rsidP="00D87E9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comúnmente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llamados</w:t>
      </w:r>
      <w:proofErr w:type="spellEnd"/>
      <w:r>
        <w:rPr>
          <w:sz w:val="20"/>
          <w:szCs w:val="20"/>
        </w:rPr>
        <w:t xml:space="preserve"> "3TG". </w:t>
      </w:r>
      <w:proofErr w:type="spellStart"/>
      <w:r>
        <w:rPr>
          <w:sz w:val="20"/>
          <w:szCs w:val="20"/>
        </w:rPr>
        <w:t>Cualquiera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considerado</w:t>
      </w:r>
      <w:proofErr w:type="spellEnd"/>
      <w:r>
        <w:rPr>
          <w:sz w:val="20"/>
          <w:szCs w:val="20"/>
        </w:rPr>
        <w:t xml:space="preserve"> un "mineral de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". </w:t>
      </w:r>
    </w:p>
    <w:p w:rsidR="00D87E9D" w:rsidRDefault="00D87E9D" w:rsidP="00D87E9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Algunos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utilizados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industria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muebles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contienen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frecuencia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son:</w:t>
      </w:r>
      <w:r w:rsidR="005F7A4C" w:rsidRPr="005F7A4C">
        <w:rPr>
          <w:sz w:val="20"/>
          <w:szCs w:val="20"/>
        </w:rPr>
        <w:t xml:space="preserve"> </w:t>
      </w:r>
      <w:proofErr w:type="spellStart"/>
      <w:r w:rsidR="005F7A4C">
        <w:rPr>
          <w:sz w:val="20"/>
          <w:szCs w:val="20"/>
        </w:rPr>
        <w:t>c</w:t>
      </w:r>
      <w:r w:rsidR="005F7A4C" w:rsidRPr="005F7A4C">
        <w:rPr>
          <w:sz w:val="20"/>
          <w:szCs w:val="20"/>
        </w:rPr>
        <w:t>ristal</w:t>
      </w:r>
      <w:proofErr w:type="spellEnd"/>
      <w:r w:rsidR="005F7A4C" w:rsidRPr="005F7A4C">
        <w:rPr>
          <w:sz w:val="20"/>
          <w:szCs w:val="20"/>
        </w:rPr>
        <w:t xml:space="preserve">, </w:t>
      </w:r>
      <w:proofErr w:type="spellStart"/>
      <w:r w:rsidR="005F7A4C" w:rsidRPr="005F7A4C">
        <w:rPr>
          <w:sz w:val="20"/>
          <w:szCs w:val="20"/>
        </w:rPr>
        <w:t>todos</w:t>
      </w:r>
      <w:proofErr w:type="spellEnd"/>
      <w:r w:rsidR="005F7A4C" w:rsidRPr="005F7A4C">
        <w:rPr>
          <w:sz w:val="20"/>
          <w:szCs w:val="20"/>
        </w:rPr>
        <w:t xml:space="preserve"> </w:t>
      </w:r>
      <w:proofErr w:type="spellStart"/>
      <w:r w:rsidR="005F7A4C" w:rsidRPr="005F7A4C">
        <w:rPr>
          <w:sz w:val="20"/>
          <w:szCs w:val="20"/>
        </w:rPr>
        <w:t>los</w:t>
      </w:r>
      <w:proofErr w:type="spellEnd"/>
      <w:r w:rsidR="005F7A4C" w:rsidRPr="005F7A4C">
        <w:rPr>
          <w:sz w:val="20"/>
          <w:szCs w:val="20"/>
        </w:rPr>
        <w:t> </w:t>
      </w:r>
      <w:proofErr w:type="spellStart"/>
      <w:r w:rsidR="005F7A4C" w:rsidRPr="005F7A4C">
        <w:rPr>
          <w:sz w:val="20"/>
          <w:szCs w:val="20"/>
        </w:rPr>
        <w:t>componentes</w:t>
      </w:r>
      <w:proofErr w:type="spellEnd"/>
      <w:r w:rsidR="005F7A4C" w:rsidRPr="005F7A4C">
        <w:rPr>
          <w:sz w:val="20"/>
          <w:szCs w:val="20"/>
        </w:rPr>
        <w:t xml:space="preserve"> </w:t>
      </w:r>
      <w:proofErr w:type="spellStart"/>
      <w:r w:rsidR="005F7A4C" w:rsidRPr="005F7A4C">
        <w:rPr>
          <w:sz w:val="20"/>
          <w:szCs w:val="20"/>
        </w:rPr>
        <w:t>eléctricos</w:t>
      </w:r>
      <w:proofErr w:type="spellEnd"/>
      <w:r w:rsidR="005F7A4C" w:rsidRPr="005F7A4C">
        <w:rPr>
          <w:sz w:val="20"/>
          <w:szCs w:val="20"/>
        </w:rPr>
        <w:t xml:space="preserve">, </w:t>
      </w:r>
      <w:proofErr w:type="spellStart"/>
      <w:r w:rsidR="005F7A4C" w:rsidRPr="005F7A4C">
        <w:rPr>
          <w:sz w:val="20"/>
          <w:szCs w:val="20"/>
        </w:rPr>
        <w:t>componentes</w:t>
      </w:r>
      <w:proofErr w:type="spellEnd"/>
      <w:r w:rsidR="005F7A4C" w:rsidRPr="005F7A4C">
        <w:rPr>
          <w:sz w:val="20"/>
          <w:szCs w:val="20"/>
        </w:rPr>
        <w:t xml:space="preserve"> de </w:t>
      </w:r>
      <w:proofErr w:type="spellStart"/>
      <w:r w:rsidR="005F7A4C" w:rsidRPr="005F7A4C">
        <w:rPr>
          <w:sz w:val="20"/>
          <w:szCs w:val="20"/>
        </w:rPr>
        <w:t>datos</w:t>
      </w:r>
      <w:proofErr w:type="spellEnd"/>
      <w:r w:rsidR="005F7A4C" w:rsidRPr="005F7A4C">
        <w:rPr>
          <w:sz w:val="20"/>
          <w:szCs w:val="20"/>
        </w:rPr>
        <w:t xml:space="preserve">, </w:t>
      </w:r>
      <w:proofErr w:type="spellStart"/>
      <w:r w:rsidR="005F7A4C" w:rsidRPr="005F7A4C">
        <w:rPr>
          <w:sz w:val="20"/>
          <w:szCs w:val="20"/>
        </w:rPr>
        <w:t>bronce</w:t>
      </w:r>
      <w:proofErr w:type="spellEnd"/>
      <w:r w:rsidR="005F7A4C" w:rsidRPr="005F7A4C">
        <w:rPr>
          <w:sz w:val="20"/>
          <w:szCs w:val="20"/>
        </w:rPr>
        <w:t xml:space="preserve">, </w:t>
      </w:r>
      <w:proofErr w:type="spellStart"/>
      <w:r w:rsidR="005F7A4C" w:rsidRPr="005F7A4C">
        <w:rPr>
          <w:sz w:val="20"/>
          <w:szCs w:val="20"/>
        </w:rPr>
        <w:t>latón</w:t>
      </w:r>
      <w:proofErr w:type="spellEnd"/>
      <w:r w:rsidR="005F7A4C" w:rsidRPr="005F7A4C">
        <w:rPr>
          <w:sz w:val="20"/>
          <w:szCs w:val="20"/>
        </w:rPr>
        <w:t>, </w:t>
      </w:r>
      <w:proofErr w:type="spellStart"/>
      <w:r w:rsidR="005F7A4C" w:rsidRPr="005F7A4C">
        <w:rPr>
          <w:sz w:val="20"/>
          <w:szCs w:val="20"/>
        </w:rPr>
        <w:t>grados</w:t>
      </w:r>
      <w:proofErr w:type="spellEnd"/>
      <w:r w:rsidR="005F7A4C" w:rsidRPr="005F7A4C">
        <w:rPr>
          <w:sz w:val="20"/>
          <w:szCs w:val="20"/>
        </w:rPr>
        <w:t xml:space="preserve"> </w:t>
      </w:r>
      <w:proofErr w:type="spellStart"/>
      <w:r w:rsidR="005F7A4C" w:rsidRPr="005F7A4C">
        <w:rPr>
          <w:sz w:val="20"/>
          <w:szCs w:val="20"/>
        </w:rPr>
        <w:t>específicos</w:t>
      </w:r>
      <w:proofErr w:type="spellEnd"/>
      <w:r w:rsidR="005F7A4C" w:rsidRPr="005F7A4C">
        <w:rPr>
          <w:sz w:val="20"/>
          <w:szCs w:val="20"/>
        </w:rPr>
        <w:t xml:space="preserve"> de </w:t>
      </w:r>
      <w:proofErr w:type="spellStart"/>
      <w:r w:rsidR="005F7A4C" w:rsidRPr="005F7A4C">
        <w:rPr>
          <w:sz w:val="20"/>
          <w:szCs w:val="20"/>
        </w:rPr>
        <w:t>acero</w:t>
      </w:r>
      <w:proofErr w:type="spellEnd"/>
      <w:r w:rsidR="005F7A4C" w:rsidRPr="005F7A4C">
        <w:rPr>
          <w:sz w:val="20"/>
          <w:szCs w:val="20"/>
        </w:rPr>
        <w:t xml:space="preserve"> y </w:t>
      </w:r>
      <w:proofErr w:type="spellStart"/>
      <w:r w:rsidR="005F7A4C" w:rsidRPr="005F7A4C">
        <w:rPr>
          <w:sz w:val="20"/>
          <w:szCs w:val="20"/>
        </w:rPr>
        <w:t>acero</w:t>
      </w:r>
      <w:proofErr w:type="spellEnd"/>
      <w:r w:rsidR="005F7A4C" w:rsidRPr="005F7A4C">
        <w:rPr>
          <w:sz w:val="20"/>
          <w:szCs w:val="20"/>
        </w:rPr>
        <w:t xml:space="preserve"> </w:t>
      </w:r>
      <w:proofErr w:type="spellStart"/>
      <w:r w:rsidR="005F7A4C" w:rsidRPr="005F7A4C">
        <w:rPr>
          <w:sz w:val="20"/>
          <w:szCs w:val="20"/>
        </w:rPr>
        <w:t>inoxidable</w:t>
      </w:r>
      <w:proofErr w:type="spellEnd"/>
      <w:r w:rsidR="005F7A4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pesar</w:t>
      </w:r>
      <w:proofErr w:type="spellEnd"/>
      <w:r>
        <w:rPr>
          <w:sz w:val="20"/>
          <w:szCs w:val="20"/>
        </w:rPr>
        <w:t xml:space="preserve"> de que no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contienen</w:t>
      </w:r>
      <w:proofErr w:type="spellEnd"/>
      <w:r>
        <w:rPr>
          <w:sz w:val="20"/>
          <w:szCs w:val="20"/>
        </w:rPr>
        <w:t xml:space="preserve"> 3TG, la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posibles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contener</w:t>
      </w:r>
      <w:proofErr w:type="spellEnd"/>
      <w:r>
        <w:rPr>
          <w:sz w:val="20"/>
          <w:szCs w:val="20"/>
        </w:rPr>
        <w:t xml:space="preserve"> 3TG no se </w:t>
      </w:r>
      <w:proofErr w:type="spellStart"/>
      <w:r>
        <w:rPr>
          <w:sz w:val="20"/>
          <w:szCs w:val="20"/>
        </w:rPr>
        <w:t>limita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. </w:t>
      </w:r>
    </w:p>
    <w:p w:rsidR="00D87E9D" w:rsidRDefault="00D87E9D" w:rsidP="00D87E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Como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sujeta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</w:t>
      </w:r>
      <w:proofErr w:type="spellEnd"/>
      <w:r>
        <w:rPr>
          <w:sz w:val="20"/>
          <w:szCs w:val="20"/>
        </w:rPr>
        <w:t xml:space="preserve"> de la SEC, </w:t>
      </w:r>
      <w:proofErr w:type="spellStart"/>
      <w:r>
        <w:rPr>
          <w:sz w:val="20"/>
          <w:szCs w:val="20"/>
        </w:rPr>
        <w:t>necesitamos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ayuda</w:t>
      </w:r>
      <w:proofErr w:type="spellEnd"/>
      <w:r>
        <w:rPr>
          <w:sz w:val="20"/>
          <w:szCs w:val="20"/>
        </w:rPr>
        <w:t xml:space="preserve"> para que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alguno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adquirimos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parte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contener</w:t>
      </w:r>
      <w:proofErr w:type="spellEnd"/>
      <w:r>
        <w:rPr>
          <w:sz w:val="20"/>
          <w:szCs w:val="20"/>
        </w:rPr>
        <w:t xml:space="preserve"> 3TG. </w:t>
      </w:r>
      <w:proofErr w:type="spellStart"/>
      <w:r>
        <w:rPr>
          <w:sz w:val="20"/>
          <w:szCs w:val="20"/>
        </w:rPr>
        <w:t>Además</w:t>
      </w:r>
      <w:proofErr w:type="spellEnd"/>
      <w:r>
        <w:rPr>
          <w:sz w:val="20"/>
          <w:szCs w:val="20"/>
        </w:rPr>
        <w:t xml:space="preserve">, para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material que </w:t>
      </w:r>
      <w:proofErr w:type="spellStart"/>
      <w:r>
        <w:rPr>
          <w:sz w:val="20"/>
          <w:szCs w:val="20"/>
        </w:rPr>
        <w:t>contenga</w:t>
      </w:r>
      <w:proofErr w:type="spellEnd"/>
      <w:r>
        <w:rPr>
          <w:sz w:val="20"/>
          <w:szCs w:val="20"/>
        </w:rPr>
        <w:t xml:space="preserve"> 3TG, </w:t>
      </w:r>
      <w:proofErr w:type="spellStart"/>
      <w:r>
        <w:rPr>
          <w:sz w:val="20"/>
          <w:szCs w:val="20"/>
        </w:rPr>
        <w:t>necesitamos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solicitar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investigación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origen</w:t>
      </w:r>
      <w:proofErr w:type="spellEnd"/>
      <w:r>
        <w:rPr>
          <w:sz w:val="20"/>
          <w:szCs w:val="20"/>
        </w:rPr>
        <w:t xml:space="preserve"> con el fin de </w:t>
      </w:r>
      <w:proofErr w:type="spellStart"/>
      <w:r>
        <w:rPr>
          <w:sz w:val="20"/>
          <w:szCs w:val="20"/>
        </w:rPr>
        <w:t>determinar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originarios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República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Democrática</w:t>
      </w:r>
      <w:proofErr w:type="spellEnd"/>
      <w:r>
        <w:rPr>
          <w:sz w:val="20"/>
          <w:szCs w:val="20"/>
        </w:rPr>
        <w:t xml:space="preserve"> del Congo (RDC) o un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limítrofe</w:t>
      </w:r>
      <w:proofErr w:type="spellEnd"/>
      <w:r>
        <w:rPr>
          <w:sz w:val="20"/>
          <w:szCs w:val="20"/>
        </w:rPr>
        <w:t xml:space="preserve">. </w:t>
      </w:r>
    </w:p>
    <w:p w:rsidR="00D87E9D" w:rsidRDefault="00D87E9D" w:rsidP="00D87E9D">
      <w:pPr>
        <w:pStyle w:val="Default"/>
        <w:rPr>
          <w:b/>
          <w:bCs/>
          <w:color w:val="4F81BC"/>
          <w:sz w:val="20"/>
          <w:szCs w:val="20"/>
        </w:rPr>
      </w:pPr>
    </w:p>
    <w:p w:rsidR="00D87E9D" w:rsidRDefault="00D87E9D" w:rsidP="00D87E9D">
      <w:pPr>
        <w:pStyle w:val="Default"/>
        <w:rPr>
          <w:color w:val="4F81BC"/>
          <w:sz w:val="20"/>
          <w:szCs w:val="20"/>
        </w:rPr>
      </w:pPr>
      <w:r>
        <w:rPr>
          <w:b/>
          <w:bCs/>
          <w:color w:val="4F81BC"/>
          <w:sz w:val="20"/>
          <w:szCs w:val="20"/>
        </w:rPr>
        <w:t>¿</w:t>
      </w:r>
      <w:proofErr w:type="spellStart"/>
      <w:r>
        <w:rPr>
          <w:b/>
          <w:bCs/>
          <w:color w:val="4F81BC"/>
          <w:sz w:val="20"/>
          <w:szCs w:val="20"/>
        </w:rPr>
        <w:t>Por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qué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es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importante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esto</w:t>
      </w:r>
      <w:proofErr w:type="spellEnd"/>
      <w:r>
        <w:rPr>
          <w:b/>
          <w:bCs/>
          <w:color w:val="4F81BC"/>
          <w:sz w:val="20"/>
          <w:szCs w:val="20"/>
        </w:rPr>
        <w:t xml:space="preserve">? </w:t>
      </w:r>
    </w:p>
    <w:p w:rsidR="00D87E9D" w:rsidRDefault="00D87E9D" w:rsidP="00D87E9D">
      <w:pPr>
        <w:pStyle w:val="Default"/>
        <w:rPr>
          <w:sz w:val="20"/>
          <w:szCs w:val="20"/>
        </w:rPr>
      </w:pP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declaración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 de la SEC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ordenada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disposición</w:t>
      </w:r>
      <w:proofErr w:type="spellEnd"/>
      <w:r>
        <w:rPr>
          <w:sz w:val="20"/>
          <w:szCs w:val="20"/>
        </w:rPr>
        <w:t xml:space="preserve"> de la Ley Dodd-Frank de </w:t>
      </w:r>
      <w:proofErr w:type="spellStart"/>
      <w:r>
        <w:rPr>
          <w:sz w:val="20"/>
          <w:szCs w:val="20"/>
        </w:rPr>
        <w:t>reforma</w:t>
      </w:r>
      <w:proofErr w:type="spellEnd"/>
      <w:r>
        <w:rPr>
          <w:sz w:val="20"/>
          <w:szCs w:val="20"/>
        </w:rPr>
        <w:t xml:space="preserve"> de Wall Street y </w:t>
      </w:r>
      <w:proofErr w:type="spellStart"/>
      <w:r>
        <w:rPr>
          <w:sz w:val="20"/>
          <w:szCs w:val="20"/>
        </w:rPr>
        <w:t>Protección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Consumidor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disposición</w:t>
      </w:r>
      <w:proofErr w:type="spellEnd"/>
      <w:r>
        <w:rPr>
          <w:sz w:val="20"/>
          <w:szCs w:val="20"/>
        </w:rPr>
        <w:t xml:space="preserve"> particular de Dodd-Frank </w:t>
      </w:r>
      <w:proofErr w:type="spellStart"/>
      <w:r>
        <w:rPr>
          <w:sz w:val="20"/>
          <w:szCs w:val="20"/>
        </w:rPr>
        <w:t>busca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promover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objetivo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humanitario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terminar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armado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RDC, el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sido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parcialmente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explotación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comercio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minerales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originarios</w:t>
      </w:r>
      <w:proofErr w:type="spellEnd"/>
      <w:r>
        <w:rPr>
          <w:sz w:val="20"/>
          <w:szCs w:val="20"/>
        </w:rPr>
        <w:t xml:space="preserve"> de la RDC. La ley </w:t>
      </w:r>
      <w:proofErr w:type="spellStart"/>
      <w:r>
        <w:rPr>
          <w:sz w:val="20"/>
          <w:szCs w:val="20"/>
        </w:rPr>
        <w:t>refleja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propósito</w:t>
      </w:r>
      <w:proofErr w:type="spellEnd"/>
      <w:r>
        <w:rPr>
          <w:sz w:val="20"/>
          <w:szCs w:val="20"/>
        </w:rPr>
        <w:t xml:space="preserve"> de </w:t>
      </w:r>
      <w:proofErr w:type="gramStart"/>
      <w:r>
        <w:rPr>
          <w:sz w:val="20"/>
          <w:szCs w:val="20"/>
        </w:rPr>
        <w:t>EE.UU</w:t>
      </w:r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ayudar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acabar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abusos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derechos </w:t>
      </w:r>
      <w:proofErr w:type="spellStart"/>
      <w:r>
        <w:rPr>
          <w:sz w:val="20"/>
          <w:szCs w:val="20"/>
        </w:rPr>
        <w:t>humanos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RDC </w:t>
      </w:r>
      <w:proofErr w:type="spellStart"/>
      <w:r>
        <w:rPr>
          <w:sz w:val="20"/>
          <w:szCs w:val="20"/>
        </w:rPr>
        <w:t>causados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conflicto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armado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Ver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 xml:space="preserve">http://www.nytimes.com/2012/03/20/business/use-of-conflict-minerals-gets-more-scrutiny.html?pagewanted=all </w:t>
      </w:r>
    </w:p>
    <w:p w:rsidR="00D87E9D" w:rsidRDefault="00D87E9D" w:rsidP="00D87E9D">
      <w:pPr>
        <w:pStyle w:val="Default"/>
        <w:rPr>
          <w:b/>
          <w:bCs/>
          <w:color w:val="4F81BC"/>
          <w:sz w:val="20"/>
          <w:szCs w:val="20"/>
        </w:rPr>
      </w:pPr>
    </w:p>
    <w:p w:rsidR="00D87E9D" w:rsidRDefault="00D87E9D" w:rsidP="00D87E9D">
      <w:pPr>
        <w:pStyle w:val="Default"/>
        <w:rPr>
          <w:b/>
          <w:bCs/>
          <w:color w:val="4F81BC"/>
          <w:sz w:val="20"/>
          <w:szCs w:val="20"/>
        </w:rPr>
      </w:pPr>
      <w:proofErr w:type="spellStart"/>
      <w:r>
        <w:rPr>
          <w:b/>
          <w:bCs/>
          <w:color w:val="4F81BC"/>
          <w:sz w:val="20"/>
          <w:szCs w:val="20"/>
        </w:rPr>
        <w:t>Recursos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sobre</w:t>
      </w:r>
      <w:proofErr w:type="spellEnd"/>
      <w:r>
        <w:rPr>
          <w:b/>
          <w:bCs/>
          <w:color w:val="4F81BC"/>
          <w:sz w:val="20"/>
          <w:szCs w:val="20"/>
        </w:rPr>
        <w:t xml:space="preserve"> </w:t>
      </w:r>
      <w:proofErr w:type="spellStart"/>
      <w:r>
        <w:rPr>
          <w:b/>
          <w:bCs/>
          <w:color w:val="4F81BC"/>
          <w:sz w:val="20"/>
          <w:szCs w:val="20"/>
        </w:rPr>
        <w:t>minerales</w:t>
      </w:r>
      <w:proofErr w:type="spellEnd"/>
      <w:r>
        <w:rPr>
          <w:b/>
          <w:bCs/>
          <w:color w:val="4F81BC"/>
          <w:sz w:val="20"/>
          <w:szCs w:val="20"/>
        </w:rPr>
        <w:t xml:space="preserve"> de </w:t>
      </w:r>
      <w:proofErr w:type="spellStart"/>
      <w:r>
        <w:rPr>
          <w:b/>
          <w:bCs/>
          <w:color w:val="4F81BC"/>
          <w:sz w:val="20"/>
          <w:szCs w:val="20"/>
        </w:rPr>
        <w:t>conflicto</w:t>
      </w:r>
      <w:proofErr w:type="spellEnd"/>
      <w:r>
        <w:rPr>
          <w:b/>
          <w:bCs/>
          <w:color w:val="4F81BC"/>
          <w:sz w:val="20"/>
          <w:szCs w:val="20"/>
        </w:rPr>
        <w:t xml:space="preserve">: </w:t>
      </w:r>
    </w:p>
    <w:p w:rsidR="00D87E9D" w:rsidRDefault="00D87E9D" w:rsidP="00D87E9D">
      <w:pPr>
        <w:pStyle w:val="Default"/>
        <w:rPr>
          <w:color w:val="4F81BC"/>
          <w:sz w:val="20"/>
          <w:szCs w:val="20"/>
        </w:rPr>
      </w:pP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Ley Dodd-Frank de </w:t>
      </w:r>
      <w:proofErr w:type="spellStart"/>
      <w:r>
        <w:rPr>
          <w:sz w:val="20"/>
          <w:szCs w:val="20"/>
        </w:rPr>
        <w:t>reforma</w:t>
      </w:r>
      <w:proofErr w:type="spellEnd"/>
      <w:r>
        <w:rPr>
          <w:sz w:val="20"/>
          <w:szCs w:val="20"/>
        </w:rPr>
        <w:t xml:space="preserve"> de Wall Street y </w:t>
      </w:r>
      <w:proofErr w:type="spellStart"/>
      <w:r>
        <w:rPr>
          <w:sz w:val="20"/>
          <w:szCs w:val="20"/>
        </w:rPr>
        <w:t>Protección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Consumidor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sección</w:t>
      </w:r>
      <w:proofErr w:type="spellEnd"/>
      <w:r>
        <w:rPr>
          <w:sz w:val="20"/>
          <w:szCs w:val="20"/>
        </w:rPr>
        <w:t xml:space="preserve"> 1502): </w:t>
      </w:r>
      <w:r>
        <w:rPr>
          <w:color w:val="0000FF"/>
          <w:sz w:val="20"/>
          <w:szCs w:val="20"/>
        </w:rPr>
        <w:t xml:space="preserve">http://www.sec.gov/about/laws/wallstreetreform-cpa.pdf </w:t>
      </w: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Norma final de la SEC, 17 CFR </w:t>
      </w:r>
      <w:proofErr w:type="spellStart"/>
      <w:r>
        <w:rPr>
          <w:sz w:val="20"/>
          <w:szCs w:val="20"/>
        </w:rPr>
        <w:t>Partes</w:t>
      </w:r>
      <w:proofErr w:type="spellEnd"/>
      <w:r>
        <w:rPr>
          <w:sz w:val="20"/>
          <w:szCs w:val="20"/>
        </w:rPr>
        <w:t xml:space="preserve"> 240 y 249b: </w:t>
      </w:r>
      <w:r>
        <w:rPr>
          <w:color w:val="0000FF"/>
          <w:sz w:val="20"/>
          <w:szCs w:val="20"/>
        </w:rPr>
        <w:t xml:space="preserve">http://www.sec.gov/rules/final/2012/34-67716.pdf </w:t>
      </w: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</w:p>
    <w:p w:rsidR="00D87E9D" w:rsidRDefault="00D87E9D" w:rsidP="00D87E9D">
      <w:pPr>
        <w:pStyle w:val="Default"/>
        <w:rPr>
          <w:color w:val="0000FF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0"/>
          <w:szCs w:val="20"/>
        </w:rPr>
        <w:t>Orientación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Debida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Diligencia</w:t>
      </w:r>
      <w:proofErr w:type="spellEnd"/>
      <w:r>
        <w:rPr>
          <w:sz w:val="20"/>
          <w:szCs w:val="20"/>
        </w:rPr>
        <w:t xml:space="preserve"> de la OECD: </w:t>
      </w:r>
      <w:r>
        <w:rPr>
          <w:color w:val="0000FF"/>
          <w:sz w:val="20"/>
          <w:szCs w:val="20"/>
        </w:rPr>
        <w:t xml:space="preserve">http://www.oecd.org/fr/daf/inv/mne/mining.htm </w:t>
      </w:r>
    </w:p>
    <w:p w:rsidR="008C324D" w:rsidRDefault="008C324D"/>
    <w:sectPr w:rsidR="008C324D" w:rsidSect="006A1E90">
      <w:pgSz w:w="11906" w:h="17338"/>
      <w:pgMar w:top="1527" w:right="619" w:bottom="493" w:left="2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7903"/>
    <w:rsid w:val="00007F17"/>
    <w:rsid w:val="00016232"/>
    <w:rsid w:val="00020766"/>
    <w:rsid w:val="00022DE4"/>
    <w:rsid w:val="00024065"/>
    <w:rsid w:val="000365E8"/>
    <w:rsid w:val="000417FC"/>
    <w:rsid w:val="00041A21"/>
    <w:rsid w:val="000549C0"/>
    <w:rsid w:val="00054FE6"/>
    <w:rsid w:val="0005518C"/>
    <w:rsid w:val="0006071D"/>
    <w:rsid w:val="00062B62"/>
    <w:rsid w:val="00062D47"/>
    <w:rsid w:val="00062E63"/>
    <w:rsid w:val="00063CC7"/>
    <w:rsid w:val="000655E5"/>
    <w:rsid w:val="000670F5"/>
    <w:rsid w:val="000700EC"/>
    <w:rsid w:val="00073E84"/>
    <w:rsid w:val="00075B57"/>
    <w:rsid w:val="0007623B"/>
    <w:rsid w:val="0007731B"/>
    <w:rsid w:val="00080563"/>
    <w:rsid w:val="00081563"/>
    <w:rsid w:val="00081A6C"/>
    <w:rsid w:val="00085600"/>
    <w:rsid w:val="00086721"/>
    <w:rsid w:val="00086E9D"/>
    <w:rsid w:val="00087CFD"/>
    <w:rsid w:val="00094AE4"/>
    <w:rsid w:val="00094CA2"/>
    <w:rsid w:val="0009555A"/>
    <w:rsid w:val="00095B6A"/>
    <w:rsid w:val="000A087D"/>
    <w:rsid w:val="000A0AAE"/>
    <w:rsid w:val="000A1B18"/>
    <w:rsid w:val="000A3376"/>
    <w:rsid w:val="000A6FD8"/>
    <w:rsid w:val="000A70AD"/>
    <w:rsid w:val="000C0400"/>
    <w:rsid w:val="000C1C08"/>
    <w:rsid w:val="000C4196"/>
    <w:rsid w:val="000C48E6"/>
    <w:rsid w:val="000C5FBD"/>
    <w:rsid w:val="000D1DE7"/>
    <w:rsid w:val="000D3F54"/>
    <w:rsid w:val="000E26CB"/>
    <w:rsid w:val="000E346C"/>
    <w:rsid w:val="000E3DA0"/>
    <w:rsid w:val="000F616A"/>
    <w:rsid w:val="000F6EA8"/>
    <w:rsid w:val="00100437"/>
    <w:rsid w:val="001025B2"/>
    <w:rsid w:val="0010618F"/>
    <w:rsid w:val="00106987"/>
    <w:rsid w:val="001106C2"/>
    <w:rsid w:val="00113E63"/>
    <w:rsid w:val="00120AE2"/>
    <w:rsid w:val="0012467A"/>
    <w:rsid w:val="00127AEA"/>
    <w:rsid w:val="00132418"/>
    <w:rsid w:val="00133B37"/>
    <w:rsid w:val="00134D9B"/>
    <w:rsid w:val="001352B0"/>
    <w:rsid w:val="00136398"/>
    <w:rsid w:val="00142850"/>
    <w:rsid w:val="00145D2C"/>
    <w:rsid w:val="00147C8E"/>
    <w:rsid w:val="001507B8"/>
    <w:rsid w:val="001513CB"/>
    <w:rsid w:val="00157A81"/>
    <w:rsid w:val="0016027D"/>
    <w:rsid w:val="00161EEF"/>
    <w:rsid w:val="00163B56"/>
    <w:rsid w:val="001660AC"/>
    <w:rsid w:val="00167036"/>
    <w:rsid w:val="00172F51"/>
    <w:rsid w:val="00173950"/>
    <w:rsid w:val="00175528"/>
    <w:rsid w:val="00175B56"/>
    <w:rsid w:val="0017765B"/>
    <w:rsid w:val="00185ECF"/>
    <w:rsid w:val="0018656C"/>
    <w:rsid w:val="00191483"/>
    <w:rsid w:val="001916C2"/>
    <w:rsid w:val="001976E6"/>
    <w:rsid w:val="001A0859"/>
    <w:rsid w:val="001A1CC9"/>
    <w:rsid w:val="001C4B4F"/>
    <w:rsid w:val="001C7FCD"/>
    <w:rsid w:val="001D0E65"/>
    <w:rsid w:val="001D2BF5"/>
    <w:rsid w:val="001D33A9"/>
    <w:rsid w:val="001D3B3D"/>
    <w:rsid w:val="001D3D13"/>
    <w:rsid w:val="001D6199"/>
    <w:rsid w:val="001E1001"/>
    <w:rsid w:val="001E107D"/>
    <w:rsid w:val="001E3D57"/>
    <w:rsid w:val="001E6DA3"/>
    <w:rsid w:val="001F21DC"/>
    <w:rsid w:val="002029FC"/>
    <w:rsid w:val="00204556"/>
    <w:rsid w:val="00206F25"/>
    <w:rsid w:val="00216ADD"/>
    <w:rsid w:val="00217C06"/>
    <w:rsid w:val="00223210"/>
    <w:rsid w:val="0022512F"/>
    <w:rsid w:val="002348F8"/>
    <w:rsid w:val="002352A6"/>
    <w:rsid w:val="002353A5"/>
    <w:rsid w:val="0023701F"/>
    <w:rsid w:val="00237586"/>
    <w:rsid w:val="002434E4"/>
    <w:rsid w:val="00244F79"/>
    <w:rsid w:val="0024796A"/>
    <w:rsid w:val="00250237"/>
    <w:rsid w:val="002534C2"/>
    <w:rsid w:val="002576F3"/>
    <w:rsid w:val="00264A98"/>
    <w:rsid w:val="00265E2D"/>
    <w:rsid w:val="00267BCE"/>
    <w:rsid w:val="00270150"/>
    <w:rsid w:val="00272ECE"/>
    <w:rsid w:val="0027405A"/>
    <w:rsid w:val="0028065D"/>
    <w:rsid w:val="002807A0"/>
    <w:rsid w:val="0028546D"/>
    <w:rsid w:val="0028621E"/>
    <w:rsid w:val="00291123"/>
    <w:rsid w:val="00293F1E"/>
    <w:rsid w:val="00294D72"/>
    <w:rsid w:val="002A1A58"/>
    <w:rsid w:val="002A3762"/>
    <w:rsid w:val="002A5310"/>
    <w:rsid w:val="002A53BE"/>
    <w:rsid w:val="002B0593"/>
    <w:rsid w:val="002B0921"/>
    <w:rsid w:val="002B21FF"/>
    <w:rsid w:val="002B6EF1"/>
    <w:rsid w:val="002C0408"/>
    <w:rsid w:val="002C32FF"/>
    <w:rsid w:val="002C6DA8"/>
    <w:rsid w:val="002C768F"/>
    <w:rsid w:val="002D0654"/>
    <w:rsid w:val="002D3143"/>
    <w:rsid w:val="002D5367"/>
    <w:rsid w:val="002D56F9"/>
    <w:rsid w:val="002E15DA"/>
    <w:rsid w:val="002E5FA8"/>
    <w:rsid w:val="002F4BC2"/>
    <w:rsid w:val="002F569E"/>
    <w:rsid w:val="0030016B"/>
    <w:rsid w:val="00313EE7"/>
    <w:rsid w:val="00317742"/>
    <w:rsid w:val="00320849"/>
    <w:rsid w:val="00334AFC"/>
    <w:rsid w:val="003352A3"/>
    <w:rsid w:val="0033736B"/>
    <w:rsid w:val="0033762F"/>
    <w:rsid w:val="0034200A"/>
    <w:rsid w:val="003434C7"/>
    <w:rsid w:val="00352FEA"/>
    <w:rsid w:val="003625AC"/>
    <w:rsid w:val="003658A0"/>
    <w:rsid w:val="0036754B"/>
    <w:rsid w:val="00367F6C"/>
    <w:rsid w:val="0037717D"/>
    <w:rsid w:val="00380BE9"/>
    <w:rsid w:val="0038625C"/>
    <w:rsid w:val="003868C4"/>
    <w:rsid w:val="00386F15"/>
    <w:rsid w:val="00396D39"/>
    <w:rsid w:val="003A7367"/>
    <w:rsid w:val="003A78C0"/>
    <w:rsid w:val="003B4726"/>
    <w:rsid w:val="003B6DB3"/>
    <w:rsid w:val="003D443D"/>
    <w:rsid w:val="003D4B42"/>
    <w:rsid w:val="003E07B4"/>
    <w:rsid w:val="003E3F4F"/>
    <w:rsid w:val="00400CEA"/>
    <w:rsid w:val="00403D9A"/>
    <w:rsid w:val="00406192"/>
    <w:rsid w:val="00406F78"/>
    <w:rsid w:val="00410041"/>
    <w:rsid w:val="00415942"/>
    <w:rsid w:val="0042233F"/>
    <w:rsid w:val="00422B33"/>
    <w:rsid w:val="0042582A"/>
    <w:rsid w:val="00432013"/>
    <w:rsid w:val="00434C43"/>
    <w:rsid w:val="0043723E"/>
    <w:rsid w:val="004402FE"/>
    <w:rsid w:val="00444B2F"/>
    <w:rsid w:val="0045185E"/>
    <w:rsid w:val="0045186D"/>
    <w:rsid w:val="00451B5F"/>
    <w:rsid w:val="00452F90"/>
    <w:rsid w:val="00460415"/>
    <w:rsid w:val="004652C9"/>
    <w:rsid w:val="00466F6F"/>
    <w:rsid w:val="00476440"/>
    <w:rsid w:val="00477ADE"/>
    <w:rsid w:val="00481F30"/>
    <w:rsid w:val="00482999"/>
    <w:rsid w:val="00485B30"/>
    <w:rsid w:val="00490D1D"/>
    <w:rsid w:val="00491623"/>
    <w:rsid w:val="004A049F"/>
    <w:rsid w:val="004A2D66"/>
    <w:rsid w:val="004A36A6"/>
    <w:rsid w:val="004A46BE"/>
    <w:rsid w:val="004A55A3"/>
    <w:rsid w:val="004B3FFF"/>
    <w:rsid w:val="004B4DD8"/>
    <w:rsid w:val="004C0CF1"/>
    <w:rsid w:val="004D1B76"/>
    <w:rsid w:val="004D460B"/>
    <w:rsid w:val="004D5BC3"/>
    <w:rsid w:val="004D5EB6"/>
    <w:rsid w:val="004D7780"/>
    <w:rsid w:val="004E29D1"/>
    <w:rsid w:val="004E3DE9"/>
    <w:rsid w:val="004E57B5"/>
    <w:rsid w:val="004E5D32"/>
    <w:rsid w:val="004F117E"/>
    <w:rsid w:val="004F1D27"/>
    <w:rsid w:val="004F5FD8"/>
    <w:rsid w:val="00500BB1"/>
    <w:rsid w:val="0051226E"/>
    <w:rsid w:val="00516712"/>
    <w:rsid w:val="00523B7D"/>
    <w:rsid w:val="00527743"/>
    <w:rsid w:val="00527BE7"/>
    <w:rsid w:val="00531D78"/>
    <w:rsid w:val="00532A82"/>
    <w:rsid w:val="00535A40"/>
    <w:rsid w:val="005374C8"/>
    <w:rsid w:val="0054096B"/>
    <w:rsid w:val="00541A8B"/>
    <w:rsid w:val="00541C6C"/>
    <w:rsid w:val="00541C9F"/>
    <w:rsid w:val="00541E0C"/>
    <w:rsid w:val="005431D6"/>
    <w:rsid w:val="00543645"/>
    <w:rsid w:val="00552EB8"/>
    <w:rsid w:val="00562B00"/>
    <w:rsid w:val="00564D5C"/>
    <w:rsid w:val="005667D5"/>
    <w:rsid w:val="00566851"/>
    <w:rsid w:val="00573060"/>
    <w:rsid w:val="00574202"/>
    <w:rsid w:val="00581705"/>
    <w:rsid w:val="005819D6"/>
    <w:rsid w:val="00585271"/>
    <w:rsid w:val="005854CE"/>
    <w:rsid w:val="005856EC"/>
    <w:rsid w:val="005856FD"/>
    <w:rsid w:val="0058607D"/>
    <w:rsid w:val="00587ED5"/>
    <w:rsid w:val="005A2E54"/>
    <w:rsid w:val="005A4660"/>
    <w:rsid w:val="005A4C9A"/>
    <w:rsid w:val="005A58A4"/>
    <w:rsid w:val="005B4AF9"/>
    <w:rsid w:val="005C0A74"/>
    <w:rsid w:val="005D7E76"/>
    <w:rsid w:val="005E0C84"/>
    <w:rsid w:val="005E6329"/>
    <w:rsid w:val="005E695D"/>
    <w:rsid w:val="005E6E11"/>
    <w:rsid w:val="005F15C3"/>
    <w:rsid w:val="005F3333"/>
    <w:rsid w:val="005F3467"/>
    <w:rsid w:val="005F6179"/>
    <w:rsid w:val="005F7A0D"/>
    <w:rsid w:val="005F7A4C"/>
    <w:rsid w:val="00604018"/>
    <w:rsid w:val="00607ECF"/>
    <w:rsid w:val="00607F95"/>
    <w:rsid w:val="00612FB6"/>
    <w:rsid w:val="006159F8"/>
    <w:rsid w:val="00615D00"/>
    <w:rsid w:val="00617FA9"/>
    <w:rsid w:val="006219CE"/>
    <w:rsid w:val="00622FD0"/>
    <w:rsid w:val="00623977"/>
    <w:rsid w:val="00624C42"/>
    <w:rsid w:val="006268A7"/>
    <w:rsid w:val="0063097A"/>
    <w:rsid w:val="00632470"/>
    <w:rsid w:val="00641227"/>
    <w:rsid w:val="00644F57"/>
    <w:rsid w:val="006471EF"/>
    <w:rsid w:val="006475D1"/>
    <w:rsid w:val="006477F8"/>
    <w:rsid w:val="00647F68"/>
    <w:rsid w:val="00652AA9"/>
    <w:rsid w:val="006556E7"/>
    <w:rsid w:val="006664FC"/>
    <w:rsid w:val="00666F9C"/>
    <w:rsid w:val="00672EDD"/>
    <w:rsid w:val="00673AFD"/>
    <w:rsid w:val="0068330E"/>
    <w:rsid w:val="006849E4"/>
    <w:rsid w:val="00696EB0"/>
    <w:rsid w:val="006970C0"/>
    <w:rsid w:val="006B1552"/>
    <w:rsid w:val="006B2145"/>
    <w:rsid w:val="006C4A05"/>
    <w:rsid w:val="006C73F4"/>
    <w:rsid w:val="006D1FEC"/>
    <w:rsid w:val="006D4399"/>
    <w:rsid w:val="006E31BB"/>
    <w:rsid w:val="006E3EDE"/>
    <w:rsid w:val="00703780"/>
    <w:rsid w:val="007061E7"/>
    <w:rsid w:val="0071761F"/>
    <w:rsid w:val="00717972"/>
    <w:rsid w:val="007336BC"/>
    <w:rsid w:val="007365F6"/>
    <w:rsid w:val="00740BEC"/>
    <w:rsid w:val="0074224F"/>
    <w:rsid w:val="00747DEB"/>
    <w:rsid w:val="00751B14"/>
    <w:rsid w:val="00753BB4"/>
    <w:rsid w:val="00754459"/>
    <w:rsid w:val="00754F3B"/>
    <w:rsid w:val="00765064"/>
    <w:rsid w:val="00773038"/>
    <w:rsid w:val="0077347D"/>
    <w:rsid w:val="00777DC7"/>
    <w:rsid w:val="00777E1E"/>
    <w:rsid w:val="007824FA"/>
    <w:rsid w:val="0079288B"/>
    <w:rsid w:val="00793CC4"/>
    <w:rsid w:val="007959FA"/>
    <w:rsid w:val="007962D3"/>
    <w:rsid w:val="007A5CAB"/>
    <w:rsid w:val="007A6C0F"/>
    <w:rsid w:val="007B01C5"/>
    <w:rsid w:val="007B2265"/>
    <w:rsid w:val="007B26EC"/>
    <w:rsid w:val="007B45BD"/>
    <w:rsid w:val="007B59D0"/>
    <w:rsid w:val="007B7980"/>
    <w:rsid w:val="007B7B36"/>
    <w:rsid w:val="007C2EA1"/>
    <w:rsid w:val="007C3EB6"/>
    <w:rsid w:val="007C52E0"/>
    <w:rsid w:val="007C53E4"/>
    <w:rsid w:val="007C7503"/>
    <w:rsid w:val="007D558D"/>
    <w:rsid w:val="007D77BE"/>
    <w:rsid w:val="007E25B9"/>
    <w:rsid w:val="007E4FF3"/>
    <w:rsid w:val="007F1029"/>
    <w:rsid w:val="007F237D"/>
    <w:rsid w:val="007F3A8E"/>
    <w:rsid w:val="00800BA4"/>
    <w:rsid w:val="00801783"/>
    <w:rsid w:val="00802309"/>
    <w:rsid w:val="00805420"/>
    <w:rsid w:val="00806C3F"/>
    <w:rsid w:val="00807757"/>
    <w:rsid w:val="00812905"/>
    <w:rsid w:val="00812F0F"/>
    <w:rsid w:val="00813670"/>
    <w:rsid w:val="008203E0"/>
    <w:rsid w:val="008224AA"/>
    <w:rsid w:val="00824735"/>
    <w:rsid w:val="00826331"/>
    <w:rsid w:val="00835046"/>
    <w:rsid w:val="00837A25"/>
    <w:rsid w:val="00840EAC"/>
    <w:rsid w:val="0084479A"/>
    <w:rsid w:val="0085035D"/>
    <w:rsid w:val="0085469D"/>
    <w:rsid w:val="008549C6"/>
    <w:rsid w:val="00860AE6"/>
    <w:rsid w:val="00860B3A"/>
    <w:rsid w:val="00871558"/>
    <w:rsid w:val="008758A9"/>
    <w:rsid w:val="008773B8"/>
    <w:rsid w:val="00880823"/>
    <w:rsid w:val="00883DD9"/>
    <w:rsid w:val="00884E6A"/>
    <w:rsid w:val="0088766B"/>
    <w:rsid w:val="00890037"/>
    <w:rsid w:val="00894604"/>
    <w:rsid w:val="008962FE"/>
    <w:rsid w:val="008A6A9D"/>
    <w:rsid w:val="008C1D48"/>
    <w:rsid w:val="008C2136"/>
    <w:rsid w:val="008C2A24"/>
    <w:rsid w:val="008C324D"/>
    <w:rsid w:val="008D690C"/>
    <w:rsid w:val="008E4988"/>
    <w:rsid w:val="008E797F"/>
    <w:rsid w:val="008E7B14"/>
    <w:rsid w:val="008F0698"/>
    <w:rsid w:val="008F4AF2"/>
    <w:rsid w:val="008F6066"/>
    <w:rsid w:val="008F60B4"/>
    <w:rsid w:val="00904BA5"/>
    <w:rsid w:val="00913EB6"/>
    <w:rsid w:val="0091620F"/>
    <w:rsid w:val="00925DE7"/>
    <w:rsid w:val="00930276"/>
    <w:rsid w:val="009351B3"/>
    <w:rsid w:val="00936FE3"/>
    <w:rsid w:val="00940870"/>
    <w:rsid w:val="0094351C"/>
    <w:rsid w:val="00950A80"/>
    <w:rsid w:val="00956716"/>
    <w:rsid w:val="00965498"/>
    <w:rsid w:val="00970078"/>
    <w:rsid w:val="00971927"/>
    <w:rsid w:val="00972939"/>
    <w:rsid w:val="00972EE1"/>
    <w:rsid w:val="00974099"/>
    <w:rsid w:val="00975397"/>
    <w:rsid w:val="00980814"/>
    <w:rsid w:val="00981598"/>
    <w:rsid w:val="00981AB1"/>
    <w:rsid w:val="00981C44"/>
    <w:rsid w:val="00981CAC"/>
    <w:rsid w:val="00985167"/>
    <w:rsid w:val="00987335"/>
    <w:rsid w:val="009908FE"/>
    <w:rsid w:val="00990CB6"/>
    <w:rsid w:val="00995B88"/>
    <w:rsid w:val="009A0815"/>
    <w:rsid w:val="009A3A9C"/>
    <w:rsid w:val="009A689D"/>
    <w:rsid w:val="009B18E0"/>
    <w:rsid w:val="009B3CC8"/>
    <w:rsid w:val="009B3EF8"/>
    <w:rsid w:val="009B653C"/>
    <w:rsid w:val="009D1614"/>
    <w:rsid w:val="009D7047"/>
    <w:rsid w:val="009E0D1E"/>
    <w:rsid w:val="009E269C"/>
    <w:rsid w:val="009E4E92"/>
    <w:rsid w:val="009E6014"/>
    <w:rsid w:val="009E736F"/>
    <w:rsid w:val="009E7AAE"/>
    <w:rsid w:val="009F1DB3"/>
    <w:rsid w:val="009F7E8D"/>
    <w:rsid w:val="009F7FB8"/>
    <w:rsid w:val="00A113CB"/>
    <w:rsid w:val="00A13A52"/>
    <w:rsid w:val="00A27008"/>
    <w:rsid w:val="00A27327"/>
    <w:rsid w:val="00A33780"/>
    <w:rsid w:val="00A33863"/>
    <w:rsid w:val="00A339E8"/>
    <w:rsid w:val="00A34598"/>
    <w:rsid w:val="00A3605A"/>
    <w:rsid w:val="00A41D03"/>
    <w:rsid w:val="00A431C0"/>
    <w:rsid w:val="00A43C4F"/>
    <w:rsid w:val="00A44C17"/>
    <w:rsid w:val="00A6220D"/>
    <w:rsid w:val="00A625ED"/>
    <w:rsid w:val="00A770B8"/>
    <w:rsid w:val="00A80B8F"/>
    <w:rsid w:val="00A87805"/>
    <w:rsid w:val="00A91A59"/>
    <w:rsid w:val="00A91C82"/>
    <w:rsid w:val="00A94A8C"/>
    <w:rsid w:val="00A97E21"/>
    <w:rsid w:val="00AA3F3A"/>
    <w:rsid w:val="00AA6A5C"/>
    <w:rsid w:val="00AB0B88"/>
    <w:rsid w:val="00AB22C6"/>
    <w:rsid w:val="00AB26C6"/>
    <w:rsid w:val="00AC0942"/>
    <w:rsid w:val="00AC761A"/>
    <w:rsid w:val="00AC7E5B"/>
    <w:rsid w:val="00AC7EDA"/>
    <w:rsid w:val="00AD3FC5"/>
    <w:rsid w:val="00AD5C1E"/>
    <w:rsid w:val="00AD5D65"/>
    <w:rsid w:val="00AD7229"/>
    <w:rsid w:val="00AD76E8"/>
    <w:rsid w:val="00AE176E"/>
    <w:rsid w:val="00AE3677"/>
    <w:rsid w:val="00AE55A3"/>
    <w:rsid w:val="00AE5A38"/>
    <w:rsid w:val="00AE652B"/>
    <w:rsid w:val="00AE7B3F"/>
    <w:rsid w:val="00AF0934"/>
    <w:rsid w:val="00AF185C"/>
    <w:rsid w:val="00AF192A"/>
    <w:rsid w:val="00AF2075"/>
    <w:rsid w:val="00AF3CBF"/>
    <w:rsid w:val="00AF4CBC"/>
    <w:rsid w:val="00AF7753"/>
    <w:rsid w:val="00AF7E86"/>
    <w:rsid w:val="00B13D36"/>
    <w:rsid w:val="00B17AF6"/>
    <w:rsid w:val="00B17C56"/>
    <w:rsid w:val="00B20734"/>
    <w:rsid w:val="00B212BF"/>
    <w:rsid w:val="00B279C1"/>
    <w:rsid w:val="00B302EC"/>
    <w:rsid w:val="00B439EE"/>
    <w:rsid w:val="00B47C7C"/>
    <w:rsid w:val="00B549B4"/>
    <w:rsid w:val="00B563F9"/>
    <w:rsid w:val="00B57DB2"/>
    <w:rsid w:val="00B61E1D"/>
    <w:rsid w:val="00B66FE7"/>
    <w:rsid w:val="00B670BC"/>
    <w:rsid w:val="00B722F0"/>
    <w:rsid w:val="00B81CD4"/>
    <w:rsid w:val="00B83BD6"/>
    <w:rsid w:val="00B86474"/>
    <w:rsid w:val="00B8741C"/>
    <w:rsid w:val="00B90062"/>
    <w:rsid w:val="00B96684"/>
    <w:rsid w:val="00BB31AB"/>
    <w:rsid w:val="00BB469E"/>
    <w:rsid w:val="00BB5318"/>
    <w:rsid w:val="00BC013A"/>
    <w:rsid w:val="00BC1344"/>
    <w:rsid w:val="00BC259F"/>
    <w:rsid w:val="00BC3E99"/>
    <w:rsid w:val="00BD1A4D"/>
    <w:rsid w:val="00BD3A7D"/>
    <w:rsid w:val="00BD447D"/>
    <w:rsid w:val="00BF1936"/>
    <w:rsid w:val="00BF59DC"/>
    <w:rsid w:val="00C05344"/>
    <w:rsid w:val="00C100EB"/>
    <w:rsid w:val="00C10132"/>
    <w:rsid w:val="00C1042E"/>
    <w:rsid w:val="00C12ADC"/>
    <w:rsid w:val="00C15FD0"/>
    <w:rsid w:val="00C213D5"/>
    <w:rsid w:val="00C3140F"/>
    <w:rsid w:val="00C31A1E"/>
    <w:rsid w:val="00C35B48"/>
    <w:rsid w:val="00C402BF"/>
    <w:rsid w:val="00C42F6F"/>
    <w:rsid w:val="00C43F76"/>
    <w:rsid w:val="00C467C1"/>
    <w:rsid w:val="00C50ABA"/>
    <w:rsid w:val="00C5318A"/>
    <w:rsid w:val="00C54525"/>
    <w:rsid w:val="00C56E5D"/>
    <w:rsid w:val="00C57045"/>
    <w:rsid w:val="00C57201"/>
    <w:rsid w:val="00C66085"/>
    <w:rsid w:val="00C660CB"/>
    <w:rsid w:val="00C665D0"/>
    <w:rsid w:val="00C718D8"/>
    <w:rsid w:val="00C73202"/>
    <w:rsid w:val="00C76208"/>
    <w:rsid w:val="00C81797"/>
    <w:rsid w:val="00C81939"/>
    <w:rsid w:val="00C82838"/>
    <w:rsid w:val="00C83366"/>
    <w:rsid w:val="00C8383B"/>
    <w:rsid w:val="00C84291"/>
    <w:rsid w:val="00C8548D"/>
    <w:rsid w:val="00C85E97"/>
    <w:rsid w:val="00C861AE"/>
    <w:rsid w:val="00C864CF"/>
    <w:rsid w:val="00C91F45"/>
    <w:rsid w:val="00C92DA1"/>
    <w:rsid w:val="00C94A72"/>
    <w:rsid w:val="00C95D31"/>
    <w:rsid w:val="00CA01B7"/>
    <w:rsid w:val="00CB1619"/>
    <w:rsid w:val="00CB220B"/>
    <w:rsid w:val="00CB4EED"/>
    <w:rsid w:val="00CB6636"/>
    <w:rsid w:val="00CB7167"/>
    <w:rsid w:val="00CC5EE4"/>
    <w:rsid w:val="00CD16D1"/>
    <w:rsid w:val="00CD4A35"/>
    <w:rsid w:val="00CE2205"/>
    <w:rsid w:val="00CE31A0"/>
    <w:rsid w:val="00CE6566"/>
    <w:rsid w:val="00CE7F32"/>
    <w:rsid w:val="00CF6BEC"/>
    <w:rsid w:val="00D039BD"/>
    <w:rsid w:val="00D04FE5"/>
    <w:rsid w:val="00D0687A"/>
    <w:rsid w:val="00D12316"/>
    <w:rsid w:val="00D1300C"/>
    <w:rsid w:val="00D1595E"/>
    <w:rsid w:val="00D17174"/>
    <w:rsid w:val="00D250E1"/>
    <w:rsid w:val="00D27E13"/>
    <w:rsid w:val="00D3010B"/>
    <w:rsid w:val="00D34940"/>
    <w:rsid w:val="00D37044"/>
    <w:rsid w:val="00D41753"/>
    <w:rsid w:val="00D417F7"/>
    <w:rsid w:val="00D52D4A"/>
    <w:rsid w:val="00D553C2"/>
    <w:rsid w:val="00D56592"/>
    <w:rsid w:val="00D624A9"/>
    <w:rsid w:val="00D64085"/>
    <w:rsid w:val="00D64A4B"/>
    <w:rsid w:val="00D6657B"/>
    <w:rsid w:val="00D705B1"/>
    <w:rsid w:val="00D71729"/>
    <w:rsid w:val="00D74606"/>
    <w:rsid w:val="00D8108A"/>
    <w:rsid w:val="00D8336E"/>
    <w:rsid w:val="00D85444"/>
    <w:rsid w:val="00D86159"/>
    <w:rsid w:val="00D87993"/>
    <w:rsid w:val="00D87E9D"/>
    <w:rsid w:val="00D93B5D"/>
    <w:rsid w:val="00D954E8"/>
    <w:rsid w:val="00DA0B31"/>
    <w:rsid w:val="00DA5836"/>
    <w:rsid w:val="00DA5C1C"/>
    <w:rsid w:val="00DA72F8"/>
    <w:rsid w:val="00DA7D33"/>
    <w:rsid w:val="00DB04B5"/>
    <w:rsid w:val="00DB120C"/>
    <w:rsid w:val="00DB1481"/>
    <w:rsid w:val="00DB4CE2"/>
    <w:rsid w:val="00DC3C5A"/>
    <w:rsid w:val="00DC4A99"/>
    <w:rsid w:val="00DC52D6"/>
    <w:rsid w:val="00DD3391"/>
    <w:rsid w:val="00DE16CA"/>
    <w:rsid w:val="00DE3BD0"/>
    <w:rsid w:val="00E0012F"/>
    <w:rsid w:val="00E01352"/>
    <w:rsid w:val="00E075B2"/>
    <w:rsid w:val="00E1530E"/>
    <w:rsid w:val="00E160D1"/>
    <w:rsid w:val="00E20F76"/>
    <w:rsid w:val="00E21001"/>
    <w:rsid w:val="00E23E2A"/>
    <w:rsid w:val="00E27349"/>
    <w:rsid w:val="00E32608"/>
    <w:rsid w:val="00E4055A"/>
    <w:rsid w:val="00E443D5"/>
    <w:rsid w:val="00E44BFC"/>
    <w:rsid w:val="00E53CD3"/>
    <w:rsid w:val="00E559A6"/>
    <w:rsid w:val="00E604FC"/>
    <w:rsid w:val="00E62718"/>
    <w:rsid w:val="00E67E51"/>
    <w:rsid w:val="00E72846"/>
    <w:rsid w:val="00E72A08"/>
    <w:rsid w:val="00E72B41"/>
    <w:rsid w:val="00E735D0"/>
    <w:rsid w:val="00E77D71"/>
    <w:rsid w:val="00E9123F"/>
    <w:rsid w:val="00E93972"/>
    <w:rsid w:val="00E97F39"/>
    <w:rsid w:val="00EA0F30"/>
    <w:rsid w:val="00EA2483"/>
    <w:rsid w:val="00EA2A07"/>
    <w:rsid w:val="00EA3D5D"/>
    <w:rsid w:val="00EA5054"/>
    <w:rsid w:val="00EC11A8"/>
    <w:rsid w:val="00EC4BD5"/>
    <w:rsid w:val="00EC575E"/>
    <w:rsid w:val="00ED1EE2"/>
    <w:rsid w:val="00ED7723"/>
    <w:rsid w:val="00EE6619"/>
    <w:rsid w:val="00EE7B85"/>
    <w:rsid w:val="00EF2E6A"/>
    <w:rsid w:val="00F022C6"/>
    <w:rsid w:val="00F0476A"/>
    <w:rsid w:val="00F15038"/>
    <w:rsid w:val="00F15714"/>
    <w:rsid w:val="00F1779D"/>
    <w:rsid w:val="00F229DD"/>
    <w:rsid w:val="00F253CC"/>
    <w:rsid w:val="00F256D3"/>
    <w:rsid w:val="00F2674A"/>
    <w:rsid w:val="00F37415"/>
    <w:rsid w:val="00F43558"/>
    <w:rsid w:val="00F43A21"/>
    <w:rsid w:val="00F44D0D"/>
    <w:rsid w:val="00F4584F"/>
    <w:rsid w:val="00F4658D"/>
    <w:rsid w:val="00F513D8"/>
    <w:rsid w:val="00F557CD"/>
    <w:rsid w:val="00F609D5"/>
    <w:rsid w:val="00F6350E"/>
    <w:rsid w:val="00F64273"/>
    <w:rsid w:val="00F66683"/>
    <w:rsid w:val="00F67E3D"/>
    <w:rsid w:val="00F74679"/>
    <w:rsid w:val="00F83241"/>
    <w:rsid w:val="00F91D77"/>
    <w:rsid w:val="00F931D3"/>
    <w:rsid w:val="00F94C72"/>
    <w:rsid w:val="00F954A2"/>
    <w:rsid w:val="00F95C03"/>
    <w:rsid w:val="00F961FD"/>
    <w:rsid w:val="00FA239D"/>
    <w:rsid w:val="00FA2F1F"/>
    <w:rsid w:val="00FA73D6"/>
    <w:rsid w:val="00FB0DD4"/>
    <w:rsid w:val="00FB3802"/>
    <w:rsid w:val="00FC724D"/>
    <w:rsid w:val="00FD143E"/>
    <w:rsid w:val="00FD192E"/>
    <w:rsid w:val="00FD425C"/>
    <w:rsid w:val="00FD4FEC"/>
    <w:rsid w:val="00FE5D72"/>
    <w:rsid w:val="00FF3E82"/>
    <w:rsid w:val="00FF5446"/>
    <w:rsid w:val="00FF6686"/>
    <w:rsid w:val="00FF69B9"/>
    <w:rsid w:val="00FF703F"/>
    <w:rsid w:val="00FF7C1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8F8D"/>
  <w15:chartTrackingRefBased/>
  <w15:docId w15:val="{5FB26F0C-B6DC-478C-A321-C2DC595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Boyd</dc:creator>
  <cp:keywords/>
  <dc:description/>
  <cp:lastModifiedBy>Burns, Maeve</cp:lastModifiedBy>
  <cp:revision>2</cp:revision>
  <dcterms:created xsi:type="dcterms:W3CDTF">2016-11-21T19:12:00Z</dcterms:created>
  <dcterms:modified xsi:type="dcterms:W3CDTF">2016-11-21T19:12:00Z</dcterms:modified>
</cp:coreProperties>
</file>